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3B9DDE6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项目名称：结直肠癌10x Genomics3’单细胞测序及分析（第二次）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项目编号：BSRMYY-YNCG-2025-09017</w:t>
      </w:r>
      <w:bookmarkStart w:id="7" w:name="_GoBack"/>
      <w:bookmarkEnd w:id="7"/>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1"/>
        <w:gridCol w:w="3088"/>
        <w:gridCol w:w="2415"/>
        <w:gridCol w:w="2512"/>
        <w:gridCol w:w="2049"/>
      </w:tblGrid>
      <w:tr w14:paraId="4DF3E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4" w:type="pct"/>
            <w:vAlign w:val="center"/>
          </w:tcPr>
          <w:p w14:paraId="100FCC84">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441" w:type="pct"/>
            <w:vAlign w:val="center"/>
          </w:tcPr>
          <w:p w14:paraId="4C8517E3">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项目名称</w:t>
            </w:r>
          </w:p>
        </w:tc>
        <w:tc>
          <w:tcPr>
            <w:tcW w:w="1127" w:type="pct"/>
            <w:vAlign w:val="center"/>
          </w:tcPr>
          <w:p w14:paraId="3C2F73F9">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预估总量（个）</w:t>
            </w:r>
          </w:p>
        </w:tc>
        <w:tc>
          <w:tcPr>
            <w:tcW w:w="1172" w:type="pct"/>
            <w:vAlign w:val="center"/>
          </w:tcPr>
          <w:p w14:paraId="53E0CCCB">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单价限价（元）</w:t>
            </w:r>
          </w:p>
        </w:tc>
        <w:tc>
          <w:tcPr>
            <w:tcW w:w="954" w:type="pct"/>
            <w:vAlign w:val="center"/>
          </w:tcPr>
          <w:p w14:paraId="7808EE59">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服务期（年）</w:t>
            </w:r>
          </w:p>
        </w:tc>
      </w:tr>
      <w:tr w14:paraId="33B2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04"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1</w:t>
            </w:r>
          </w:p>
        </w:tc>
        <w:tc>
          <w:tcPr>
            <w:tcW w:w="1441" w:type="pct"/>
            <w:vAlign w:val="center"/>
          </w:tcPr>
          <w:p w14:paraId="6D2CD2D0">
            <w:pPr>
              <w:jc w:val="left"/>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结直肠癌10x Genomics3’单细胞测序</w:t>
            </w:r>
          </w:p>
        </w:tc>
        <w:tc>
          <w:tcPr>
            <w:tcW w:w="1127" w:type="pct"/>
            <w:vAlign w:val="center"/>
          </w:tcPr>
          <w:p w14:paraId="2F113F89">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8</w:t>
            </w:r>
          </w:p>
        </w:tc>
        <w:tc>
          <w:tcPr>
            <w:tcW w:w="1172" w:type="pct"/>
            <w:vAlign w:val="center"/>
          </w:tcPr>
          <w:p w14:paraId="65042AF6">
            <w:pPr>
              <w:jc w:val="center"/>
              <w:rPr>
                <w:rFonts w:hint="default" w:ascii="方正仿宋_GBK" w:hAnsi="方正仿宋_GBK" w:eastAsia="方正仿宋_GBK" w:cs="方正仿宋_GBK"/>
                <w:b/>
                <w:bCs/>
                <w:kern w:val="0"/>
                <w:sz w:val="30"/>
                <w:szCs w:val="30"/>
                <w:highlight w:val="none"/>
                <w:lang w:val="en-US" w:eastAsia="zh-CN" w:bidi="ar-SA"/>
              </w:rPr>
            </w:pPr>
            <w:r>
              <w:rPr>
                <w:rFonts w:hint="default" w:ascii="方正仿宋_GBK" w:hAnsi="方正仿宋_GBK" w:eastAsia="方正仿宋_GBK" w:cs="方正仿宋_GBK"/>
                <w:b/>
                <w:bCs/>
                <w:kern w:val="0"/>
                <w:sz w:val="30"/>
                <w:szCs w:val="30"/>
                <w:highlight w:val="none"/>
                <w:lang w:val="en-US" w:eastAsia="zh-CN" w:bidi="ar-SA"/>
              </w:rPr>
              <w:t>12000</w:t>
            </w:r>
          </w:p>
        </w:tc>
        <w:tc>
          <w:tcPr>
            <w:tcW w:w="954" w:type="pct"/>
            <w:vAlign w:val="center"/>
          </w:tcPr>
          <w:p w14:paraId="266D4451">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2</w:t>
            </w:r>
          </w:p>
        </w:tc>
      </w:tr>
      <w:tr w14:paraId="4E913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1A439BD5">
            <w:pPr>
              <w:jc w:val="right"/>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按预估总量合计总价为96000元</w:t>
            </w:r>
          </w:p>
        </w:tc>
      </w:tr>
    </w:tbl>
    <w:p w14:paraId="75E42A62">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28"/>
          <w:szCs w:val="28"/>
          <w:highlight w:val="none"/>
          <w:lang w:val="en-US" w:eastAsia="zh-CN"/>
        </w:rPr>
        <w:t>备注：本项目招采2年单价，预估量不做采购承诺，以实际验收用量据实结算。</w:t>
      </w:r>
    </w:p>
    <w:p w14:paraId="550A0A2D">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二、技术要求（需全部满足）</w:t>
      </w:r>
    </w:p>
    <w:tbl>
      <w:tblPr>
        <w:tblStyle w:val="14"/>
        <w:tblW w:w="535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1"/>
        <w:gridCol w:w="2289"/>
        <w:gridCol w:w="7388"/>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7" w:type="pct"/>
            <w:vAlign w:val="center"/>
          </w:tcPr>
          <w:p w14:paraId="2A12B4EE">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084" w:type="pct"/>
            <w:vAlign w:val="center"/>
          </w:tcPr>
          <w:p w14:paraId="35A4EED0">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名称</w:t>
            </w:r>
          </w:p>
        </w:tc>
        <w:tc>
          <w:tcPr>
            <w:tcW w:w="3498" w:type="pct"/>
            <w:vAlign w:val="center"/>
          </w:tcPr>
          <w:p w14:paraId="4472D0B1">
            <w:pPr>
              <w:jc w:val="center"/>
              <w:rPr>
                <w:rFonts w:hint="default"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417"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1</w:t>
            </w:r>
          </w:p>
        </w:tc>
        <w:tc>
          <w:tcPr>
            <w:tcW w:w="1084" w:type="pct"/>
            <w:shd w:val="clear" w:color="auto" w:fill="auto"/>
            <w:vAlign w:val="center"/>
          </w:tcPr>
          <w:p w14:paraId="34447689">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结直肠癌10x Genomics3’单细胞测序</w:t>
            </w:r>
          </w:p>
        </w:tc>
        <w:tc>
          <w:tcPr>
            <w:tcW w:w="3498" w:type="pct"/>
            <w:shd w:val="clear" w:color="auto" w:fill="auto"/>
            <w:vAlign w:val="center"/>
          </w:tcPr>
          <w:p w14:paraId="44A2A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10x单细胞3’转录组测序使用双端测序PE150；</w:t>
            </w:r>
          </w:p>
          <w:p w14:paraId="0E824C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color w:val="FF0000"/>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测序量：20k reads/cell，</w:t>
            </w:r>
            <w:r>
              <w:rPr>
                <w:rFonts w:hint="eastAsia" w:ascii="方正仿宋_GBK" w:hAnsi="方正仿宋_GBK" w:eastAsia="方正仿宋_GBK" w:cs="方正仿宋_GBK"/>
                <w:b/>
                <w:bCs/>
                <w:color w:val="auto"/>
                <w:kern w:val="2"/>
                <w:sz w:val="28"/>
                <w:szCs w:val="28"/>
                <w:highlight w:val="none"/>
                <w:lang w:val="en-US" w:eastAsia="zh-CN" w:bidi="ar-SA"/>
              </w:rPr>
              <w:t>100G/sample测序量；</w:t>
            </w:r>
          </w:p>
          <w:p w14:paraId="7B669A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原始数据质控预处理软件：10x genomics官方软件Cell Ranger；</w:t>
            </w:r>
          </w:p>
          <w:p w14:paraId="6FE023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基因比对软件：STAR (Spliced Transcripts Alignment to a Reference)；</w:t>
            </w:r>
          </w:p>
          <w:p w14:paraId="303870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基因定量后质控数据标准化处理包：Seurat；</w:t>
            </w:r>
          </w:p>
          <w:p w14:paraId="737D3F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分析内容包括但不限于：测序数据质量评估；基因定量质控；去除批次效应（可选）；降维聚类和可视化；Marker 基因鉴定与可视化；细胞类型鉴定；差异基因表达分析；差异基因功能分析；差异基因集富集分析；细胞亚群鉴定；拟时序分析；细胞间通讯；转录因子调控网络等，根据上述服务内容提供单细胞检测分析报告，后续根据采购人需求提供个性化数据分析并交付报告。</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586AE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438614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702D4E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44A29F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招采2年单价。报价要求：按照每个样品单价进行报价，报价包含但不限于项目服务费、配套设备辅材费、资料装订及邮寄费、税费、保险费、保密费、验收检测费等完成本项目所需的一切费用。因成交供应商自身原因造成漏报、少报皆由其自行承担责任，采购人不再补偿。供应商所报价格不得超过采购人限价，否则视为无效报价。</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DEC434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kern w:val="0"/>
          <w:sz w:val="32"/>
          <w:szCs w:val="32"/>
          <w:highlight w:val="none"/>
          <w:lang w:val="en-US" w:eastAsia="zh-CN"/>
        </w:rPr>
        <w:t>收到样本后，3个月内完成测序、测序数据分析、个性化数据分析、数据分析报告交付。最长2年时间完成项目要求的所有服务内容。</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供应商完成每次交付后，按照采购招投标文件要求逐项验收，采用</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数据分析报告作为主要验收依据，以采购人出具服务验收证明作为最终验收。验收产生争议或验收后第三方对数据产生合理质疑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7066D06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（六）服务效果考核标准</w:t>
      </w:r>
    </w:p>
    <w:p w14:paraId="2E9A41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每个样本10x Genomics 3’单细胞转录组提供测序后原始数据100G（不少于承诺数据量的90%），碱基质量大于20（Q20）的比例不小于90%。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项目验收不合格或使用中发现服务质量缺陷，采购人有权要求供应商整改，整改期限为10日，整改期限届满仍未完成的供应商每日支付合同总金额千分之三的违约金，超过20日未能完成整改，采购人有权解除合同；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A0763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出现检测内容虚假、数据分析错误、供应商拒绝履约等由于</w:t>
      </w:r>
      <w:r>
        <w:rPr>
          <w:rFonts w:hint="eastAsia" w:ascii="方正仿宋_GBK" w:hAnsi="方正仿宋_GBK" w:eastAsia="方正仿宋_GBK" w:cs="方正仿宋_GBK"/>
          <w:b w:val="0"/>
          <w:bCs w:val="0"/>
          <w:color w:val="auto"/>
          <w:kern w:val="0"/>
          <w:sz w:val="32"/>
          <w:szCs w:val="32"/>
          <w:highlight w:val="none"/>
          <w:lang w:val="en-US" w:eastAsia="zh-CN"/>
        </w:rPr>
        <w:t>供应商及其服务原因造成采购人损失的，</w:t>
      </w:r>
      <w:r>
        <w:rPr>
          <w:rFonts w:hint="eastAsia" w:ascii="方正仿宋_GBK" w:hAnsi="方正仿宋_GBK" w:eastAsia="方正仿宋_GBK" w:cs="方正仿宋_GBK"/>
          <w:color w:val="auto"/>
          <w:kern w:val="0"/>
          <w:sz w:val="32"/>
          <w:szCs w:val="32"/>
          <w:highlight w:val="none"/>
          <w:lang w:val="en-US" w:eastAsia="zh-CN"/>
        </w:rPr>
        <w:t>供应商应赔偿对采购人造成的直接和间接损失全额损失。</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12.项目服务方案（应具体到标本接收运输管理、检测进度计划、项目阶段性沟通、人员设备安排、保密措施等）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221E84F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259771F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5AB5AAF7">
      <w:pPr>
        <w:ind w:firstLine="640" w:firstLineChars="200"/>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56196472"/>
      <w:bookmarkStart w:id="3" w:name="_Toc237057793"/>
      <w:bookmarkStart w:id="4" w:name="_Toc128014297"/>
      <w:bookmarkStart w:id="5" w:name="_Toc128229304"/>
      <w:bookmarkStart w:id="6" w:name="_Toc12822974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1．愿意按照询价采购文件中的一切要求，提供本项目的服务，按照每个样品单价报价为人民币大写：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7C24943D">
      <w:pP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投标服务相关资料（如资质证明等）</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项目服务方案（应具体到标本接收运输管理、检测进度计划、项目阶段性沟通、人员设备安排、保密措施等）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9604328"/>
    <w:rsid w:val="09B51428"/>
    <w:rsid w:val="0BCE4B39"/>
    <w:rsid w:val="0C872834"/>
    <w:rsid w:val="0C974041"/>
    <w:rsid w:val="0CB1115F"/>
    <w:rsid w:val="0CE64C8D"/>
    <w:rsid w:val="0D5C636E"/>
    <w:rsid w:val="0E440BB0"/>
    <w:rsid w:val="0E6637FD"/>
    <w:rsid w:val="0E6753E5"/>
    <w:rsid w:val="0E9F1F75"/>
    <w:rsid w:val="0F3D73C4"/>
    <w:rsid w:val="0FAB7A71"/>
    <w:rsid w:val="0FD01451"/>
    <w:rsid w:val="10945E1E"/>
    <w:rsid w:val="118D0DD2"/>
    <w:rsid w:val="11F71B56"/>
    <w:rsid w:val="122D0B62"/>
    <w:rsid w:val="133D5E0A"/>
    <w:rsid w:val="1922346A"/>
    <w:rsid w:val="19375EE1"/>
    <w:rsid w:val="1A1C7FE3"/>
    <w:rsid w:val="1AAE2C67"/>
    <w:rsid w:val="1AF86BE0"/>
    <w:rsid w:val="1B3306B6"/>
    <w:rsid w:val="1BDE0896"/>
    <w:rsid w:val="1CF00EFC"/>
    <w:rsid w:val="1F2F00AB"/>
    <w:rsid w:val="20746E51"/>
    <w:rsid w:val="21426D4A"/>
    <w:rsid w:val="236757CC"/>
    <w:rsid w:val="23FB11F4"/>
    <w:rsid w:val="253F399C"/>
    <w:rsid w:val="26541E80"/>
    <w:rsid w:val="29AE2A56"/>
    <w:rsid w:val="29F1586C"/>
    <w:rsid w:val="2C3529EE"/>
    <w:rsid w:val="2CC37769"/>
    <w:rsid w:val="2F2F3117"/>
    <w:rsid w:val="2FC44243"/>
    <w:rsid w:val="31092EA8"/>
    <w:rsid w:val="33FB61AD"/>
    <w:rsid w:val="342C6BC9"/>
    <w:rsid w:val="35761799"/>
    <w:rsid w:val="357C2FC3"/>
    <w:rsid w:val="376E6279"/>
    <w:rsid w:val="38A14340"/>
    <w:rsid w:val="396A2364"/>
    <w:rsid w:val="3A2C5456"/>
    <w:rsid w:val="3A8A6AFB"/>
    <w:rsid w:val="3B5B7766"/>
    <w:rsid w:val="3D8263F7"/>
    <w:rsid w:val="3E4F6C71"/>
    <w:rsid w:val="3E9F6BB4"/>
    <w:rsid w:val="40611EDD"/>
    <w:rsid w:val="439873F8"/>
    <w:rsid w:val="442069E9"/>
    <w:rsid w:val="44C5770F"/>
    <w:rsid w:val="44EF71C4"/>
    <w:rsid w:val="45170BAD"/>
    <w:rsid w:val="45433394"/>
    <w:rsid w:val="45EF05E5"/>
    <w:rsid w:val="475D7492"/>
    <w:rsid w:val="482D6FF9"/>
    <w:rsid w:val="49470D20"/>
    <w:rsid w:val="496140CE"/>
    <w:rsid w:val="4AA416B0"/>
    <w:rsid w:val="4AE139DB"/>
    <w:rsid w:val="4B782C5C"/>
    <w:rsid w:val="4BDB0A24"/>
    <w:rsid w:val="4C31315D"/>
    <w:rsid w:val="4E3B1140"/>
    <w:rsid w:val="4F6D75ED"/>
    <w:rsid w:val="51352B6B"/>
    <w:rsid w:val="53A17F68"/>
    <w:rsid w:val="53DB6C22"/>
    <w:rsid w:val="55085A60"/>
    <w:rsid w:val="57744314"/>
    <w:rsid w:val="5DBD061A"/>
    <w:rsid w:val="5E932E93"/>
    <w:rsid w:val="5FA4498B"/>
    <w:rsid w:val="61130716"/>
    <w:rsid w:val="61143219"/>
    <w:rsid w:val="61707CCC"/>
    <w:rsid w:val="61A6052D"/>
    <w:rsid w:val="626B6216"/>
    <w:rsid w:val="637666C3"/>
    <w:rsid w:val="63814C5E"/>
    <w:rsid w:val="649966D5"/>
    <w:rsid w:val="67CF5844"/>
    <w:rsid w:val="69D01878"/>
    <w:rsid w:val="6A1F4430"/>
    <w:rsid w:val="6B247663"/>
    <w:rsid w:val="6D1F523E"/>
    <w:rsid w:val="6D38732A"/>
    <w:rsid w:val="6DD05A39"/>
    <w:rsid w:val="6EC6360F"/>
    <w:rsid w:val="6EEA5B77"/>
    <w:rsid w:val="6F9A2F0D"/>
    <w:rsid w:val="6FB940CF"/>
    <w:rsid w:val="70237F96"/>
    <w:rsid w:val="713118C3"/>
    <w:rsid w:val="71C02C3F"/>
    <w:rsid w:val="72BB5C94"/>
    <w:rsid w:val="732B3BA9"/>
    <w:rsid w:val="73C21B9F"/>
    <w:rsid w:val="74A123D1"/>
    <w:rsid w:val="74D3615F"/>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6421</Words>
  <Characters>6743</Characters>
  <Lines>0</Lines>
  <Paragraphs>0</Paragraphs>
  <TotalTime>0</TotalTime>
  <ScaleCrop>false</ScaleCrop>
  <LinksUpToDate>false</LinksUpToDate>
  <CharactersWithSpaces>7345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2025-09-28T07:02:26Z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